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5C104CB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0B28B6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0B28B6">
        <w:rPr>
          <w:rFonts w:ascii="Calibri" w:hAnsi="Calibri" w:cs="Calibri"/>
          <w:sz w:val="22"/>
          <w:szCs w:val="22"/>
        </w:rPr>
        <w:t>arpamolise@legalmail.it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64E6203B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0B28B6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9572875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0B28B6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47613D3E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B28B6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B28B6">
        <w:rPr>
          <w:rFonts w:ascii="Calibri" w:hAnsi="Calibri" w:cs="Calibri"/>
          <w:sz w:val="22"/>
          <w:szCs w:val="22"/>
        </w:rPr>
        <w:t>Regionale del Molise n.02/10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B28B6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B28B6">
        <w:rPr>
          <w:rFonts w:ascii="Calibri" w:hAnsi="Calibri" w:cs="Calibri"/>
          <w:i/>
          <w:iCs/>
          <w:sz w:val="22"/>
          <w:szCs w:val="22"/>
        </w:rPr>
        <w:t>Misure in materia di contenimento dell’inquinamento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64FAE8B2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B28B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B28B6">
        <w:rPr>
          <w:rFonts w:ascii="Calibri" w:hAnsi="Calibri" w:cs="Calibri"/>
          <w:sz w:val="22"/>
          <w:szCs w:val="22"/>
        </w:rPr>
        <w:t>Regionale del Molise n.02/10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FC6B4D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16BE" w14:textId="77777777" w:rsidR="00FC6B4D" w:rsidRDefault="00FC6B4D">
      <w:r>
        <w:separator/>
      </w:r>
    </w:p>
  </w:endnote>
  <w:endnote w:type="continuationSeparator" w:id="0">
    <w:p w14:paraId="23094564" w14:textId="77777777" w:rsidR="00FC6B4D" w:rsidRDefault="00FC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175C" w14:textId="77777777" w:rsidR="00FC6B4D" w:rsidRDefault="00FC6B4D">
      <w:r>
        <w:separator/>
      </w:r>
    </w:p>
  </w:footnote>
  <w:footnote w:type="continuationSeparator" w:id="0">
    <w:p w14:paraId="4420431F" w14:textId="77777777" w:rsidR="00FC6B4D" w:rsidRDefault="00FC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B28B6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C6B4D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2560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2024-01-22T16:01:00Z</dcterms:created>
  <dcterms:modified xsi:type="dcterms:W3CDTF">2024-01-22T16:01:00Z</dcterms:modified>
</cp:coreProperties>
</file>